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p>
    <w:p>
      <w:pPr>
        <w:pStyle w:val="Kicker"/>
      </w:pPr>
      <w:r>
        <w:t>BEHIND-THE-SCENES PRESS ARCHIVE</w:t>
      </w:r>
    </w:p>
    <w:p>
      <w:pPr>
        <w:spacing w:after="160"/>
      </w:pPr>
      <w:r>
        <w:rPr>
          <w:rFonts w:ascii="Georgia" w:hAnsi="Georgia"/>
          <w:b/>
          <w:color w:val="090806"/>
          <w:sz w:val="62"/>
        </w:rPr>
        <w:t>Round &amp; Round</w:t>
        <w:br/>
        <w:t>EDM Mashup</w:t>
      </w:r>
    </w:p>
    <w:p>
      <w:pPr>
        <w:spacing w:after="360"/>
      </w:pPr>
      <w:r>
        <w:rPr>
          <w:rFonts w:ascii="Georgia" w:hAnsi="Georgia"/>
          <w:i/>
          <w:color w:val="8B672D"/>
          <w:sz w:val="30"/>
        </w:rPr>
        <w:t>Dulaxi Discovery 10/10 Editorial Feature</w:t>
      </w:r>
    </w:p>
    <w:tbl>
      <w:tblPr>
        <w:tblW w:type="auto" w:w="0"/>
        <w:jc w:val="center"/>
        <w:tblLayout w:type="fixed"/>
        <w:tblLook w:firstColumn="1" w:firstRow="1" w:lastColumn="0" w:lastRow="0" w:noHBand="0" w:noVBand="1" w:val="04A0"/>
      </w:tblPr>
      <w:tblGrid>
        <w:gridCol w:w="4680"/>
        <w:gridCol w:w="4680"/>
      </w:tblGrid>
      <w:tr>
        <w:tc>
          <w:tcPr>
            <w:tcW w:type="dxa" w:w="2232"/>
            <w:shd w:fill="090806"/>
            <w:tcMar>
              <w:top w:w="100" w:type="dxa"/>
              <w:start w:w="140" w:type="dxa"/>
              <w:bottom w:w="100" w:type="dxa"/>
              <w:end w:w="140" w:type="dxa"/>
            </w:tcMar>
            <w:vAlign w:val="center"/>
          </w:tcPr>
          <w:p>
            <w:r>
              <w:rPr>
                <w:rFonts w:ascii="Calibri" w:hAnsi="Calibri"/>
                <w:b/>
                <w:color w:val="C99B4B"/>
                <w:sz w:val="16"/>
              </w:rPr>
              <w:t>OUTLET</w:t>
            </w:r>
          </w:p>
        </w:tc>
        <w:tc>
          <w:tcPr>
            <w:tcW w:type="dxa" w:w="7128"/>
            <w:shd w:fill="F4EBDD"/>
            <w:tcMar>
              <w:top w:w="100" w:type="dxa"/>
              <w:start w:w="140" w:type="dxa"/>
              <w:bottom w:w="100" w:type="dxa"/>
              <w:end w:w="140" w:type="dxa"/>
            </w:tcMar>
            <w:vAlign w:val="center"/>
          </w:tcPr>
          <w:p>
            <w:r>
              <w:rPr>
                <w:rFonts w:ascii="Calibri" w:hAnsi="Calibri"/>
                <w:color w:val="17130F"/>
                <w:sz w:val="19"/>
              </w:rPr>
              <w:t>Dulaxi</w:t>
            </w:r>
          </w:p>
        </w:tc>
      </w:tr>
      <w:tr>
        <w:tc>
          <w:tcPr>
            <w:tcW w:type="dxa" w:w="2232"/>
            <w:shd w:fill="090806"/>
            <w:tcMar>
              <w:top w:w="100" w:type="dxa"/>
              <w:start w:w="140" w:type="dxa"/>
              <w:bottom w:w="100" w:type="dxa"/>
              <w:end w:w="140" w:type="dxa"/>
            </w:tcMar>
            <w:vAlign w:val="center"/>
          </w:tcPr>
          <w:p>
            <w:r>
              <w:rPr>
                <w:rFonts w:ascii="Calibri" w:hAnsi="Calibri"/>
                <w:b/>
                <w:color w:val="C99B4B"/>
                <w:sz w:val="16"/>
              </w:rPr>
              <w:t>SERIES</w:t>
            </w:r>
          </w:p>
        </w:tc>
        <w:tc>
          <w:tcPr>
            <w:tcW w:type="dxa" w:w="7128"/>
            <w:shd w:fill="F4EBDD"/>
            <w:tcMar>
              <w:top w:w="100" w:type="dxa"/>
              <w:start w:w="140" w:type="dxa"/>
              <w:bottom w:w="100" w:type="dxa"/>
              <w:end w:w="140" w:type="dxa"/>
            </w:tcMar>
            <w:vAlign w:val="center"/>
          </w:tcPr>
          <w:p>
            <w:r>
              <w:rPr>
                <w:rFonts w:ascii="Calibri" w:hAnsi="Calibri"/>
                <w:color w:val="17130F"/>
                <w:sz w:val="19"/>
              </w:rPr>
              <w:t>Discovery 10/10 — Edition 170</w:t>
            </w:r>
          </w:p>
        </w:tc>
      </w:tr>
      <w:tr>
        <w:tc>
          <w:tcPr>
            <w:tcW w:type="dxa" w:w="2232"/>
            <w:shd w:fill="090806"/>
            <w:tcMar>
              <w:top w:w="100" w:type="dxa"/>
              <w:start w:w="140" w:type="dxa"/>
              <w:bottom w:w="100" w:type="dxa"/>
              <w:end w:w="140" w:type="dxa"/>
            </w:tcMar>
            <w:vAlign w:val="center"/>
          </w:tcPr>
          <w:p>
            <w:r>
              <w:rPr>
                <w:rFonts w:ascii="Calibri" w:hAnsi="Calibri"/>
                <w:b/>
                <w:color w:val="C99B4B"/>
                <w:sz w:val="16"/>
              </w:rPr>
              <w:t>BYLINE / DATE</w:t>
            </w:r>
          </w:p>
        </w:tc>
        <w:tc>
          <w:tcPr>
            <w:tcW w:type="dxa" w:w="7128"/>
            <w:shd w:fill="F4EBDD"/>
            <w:tcMar>
              <w:top w:w="100" w:type="dxa"/>
              <w:start w:w="140" w:type="dxa"/>
              <w:bottom w:w="100" w:type="dxa"/>
              <w:end w:w="140" w:type="dxa"/>
            </w:tcMar>
            <w:vAlign w:val="center"/>
          </w:tcPr>
          <w:p>
            <w:r>
              <w:rPr>
                <w:rFonts w:ascii="Calibri" w:hAnsi="Calibri"/>
                <w:color w:val="17130F"/>
                <w:sz w:val="19"/>
              </w:rPr>
              <w:t>Daniel · July 30, 2026</w:t>
            </w:r>
          </w:p>
        </w:tc>
      </w:tr>
      <w:tr>
        <w:tc>
          <w:tcPr>
            <w:tcW w:type="dxa" w:w="2232"/>
            <w:shd w:fill="090806"/>
            <w:tcMar>
              <w:top w:w="100" w:type="dxa"/>
              <w:start w:w="140" w:type="dxa"/>
              <w:bottom w:w="100" w:type="dxa"/>
              <w:end w:w="140" w:type="dxa"/>
            </w:tcMar>
            <w:vAlign w:val="center"/>
          </w:tcPr>
          <w:p>
            <w:r>
              <w:rPr>
                <w:rFonts w:ascii="Calibri" w:hAnsi="Calibri"/>
                <w:b/>
                <w:color w:val="C99B4B"/>
                <w:sz w:val="16"/>
              </w:rPr>
              <w:t>COVERAGE TYPE</w:t>
            </w:r>
          </w:p>
        </w:tc>
        <w:tc>
          <w:tcPr>
            <w:tcW w:type="dxa" w:w="7128"/>
            <w:shd w:fill="F4EBDD"/>
            <w:tcMar>
              <w:top w:w="100" w:type="dxa"/>
              <w:start w:w="140" w:type="dxa"/>
              <w:bottom w:w="100" w:type="dxa"/>
              <w:end w:w="140" w:type="dxa"/>
            </w:tcMar>
            <w:vAlign w:val="center"/>
          </w:tcPr>
          <w:p>
            <w:r>
              <w:rPr>
                <w:rFonts w:ascii="Calibri" w:hAnsi="Calibri"/>
                <w:color w:val="17130F"/>
                <w:sz w:val="19"/>
              </w:rPr>
              <w:t>Featured track review in a ten-artist discovery roundup</w:t>
            </w:r>
          </w:p>
        </w:tc>
      </w:tr>
    </w:tbl>
    <w:p>
      <w:pPr>
        <w:spacing w:after="40"/>
      </w:pPr>
    </w:p>
    <w:tbl>
      <w:tblPr>
        <w:tblW w:type="auto" w:w="0"/>
        <w:jc w:val="center"/>
        <w:tblLayout w:type="fixed"/>
        <w:tblLook w:firstColumn="1" w:firstRow="1" w:lastColumn="0" w:lastRow="0" w:noHBand="0" w:noVBand="1" w:val="04A0"/>
      </w:tblPr>
      <w:tblGrid>
        <w:gridCol w:w="9360"/>
      </w:tblGrid>
      <w:tr>
        <w:tc>
          <w:tcPr>
            <w:tcW w:type="dxa" w:w="9360"/>
            <w:shd w:fill="090806"/>
            <w:tcMar>
              <w:top w:w="260" w:type="dxa"/>
              <w:start w:w="300" w:type="dxa"/>
              <w:bottom w:w="250" w:type="dxa"/>
              <w:end w:w="300" w:type="dxa"/>
            </w:tcMar>
          </w:tcPr>
          <w:p>
            <w:pPr>
              <w:spacing w:after="200"/>
              <w:jc w:val="left"/>
            </w:pPr>
            <w:r>
              <w:rPr>
                <w:rFonts w:ascii="Georgia" w:hAnsi="Georgia"/>
                <w:i/>
                <w:color w:val="F7F1E4"/>
                <w:sz w:val="30"/>
              </w:rPr>
              <w:t>“JRH successfully combines emotional storytelling with vibrant electronic craftsmanship, creating a mashup that is both sonically engaging and emotionally compelling.”</w:t>
            </w:r>
          </w:p>
          <w:p>
            <w:r>
              <w:rPr>
                <w:rFonts w:ascii="Calibri" w:hAnsi="Calibri"/>
                <w:b/>
                <w:color w:val="C99B4B"/>
                <w:sz w:val="18"/>
              </w:rPr>
              <w:t>— Dulaxi, Discovery 10/10, July 30, 2026</w:t>
            </w:r>
          </w:p>
        </w:tc>
      </w:tr>
    </w:tbl>
    <w:p>
      <w:pPr>
        <w:pStyle w:val="Heading2"/>
      </w:pPr>
      <w:r>
        <w:t>Archive purpose</w:t>
      </w:r>
    </w:p>
    <w:p>
      <w:pPr/>
      <w:r>
        <w:t>This document preserves Dulaxi’s published review of JRH’s “Round &amp; Round EDM Mashup,” records the placement accurately, and supplies approved language for the JRH press kit, website, and social channels.</w:t>
      </w:r>
    </w:p>
    <w:p>
      <w:pPr/>
      <w:r>
        <w:rPr>
          <w:b/>
        </w:rPr>
        <w:t xml:space="preserve">Original feature: </w:t>
      </w:r>
      <w:hyperlink r:id="rId11">
        <w:r>
          <w:rPr>
            <w:color w:val="8B672D"/>
            <w:u w:val="single"/>
          </w:rPr>
          <w:t>Dulaxi — Discovery 10/10</w:t>
        </w:r>
      </w:hyperlink>
    </w:p>
    <w:p>
      <w:r>
        <w:br w:type="page"/>
      </w:r>
    </w:p>
    <w:p>
      <w:pPr>
        <w:pStyle w:val="Kicker"/>
      </w:pPr>
      <w:r>
        <w:t>PUBLICATION RECORD</w:t>
      </w:r>
    </w:p>
    <w:p>
      <w:pPr>
        <w:pStyle w:val="Heading1"/>
      </w:pPr>
      <w:r>
        <w:t>What this coverage is—and is not</w:t>
      </w:r>
    </w:p>
    <w:p>
      <w:pPr/>
      <w:r>
        <w:t>This is an editorial track review within Dulaxi’s recurring Discovery 10/10 roundup. JRH is one of ten independent artists selected for the edition, and the published page includes a dedicated JRH section with an embedded Spotify player.</w:t>
      </w:r>
    </w:p>
    <w:p>
      <w:pPr/>
      <w:r>
        <w:t>For press and promotional purposes, describe it as a “Dulaxi editorial feature,” a “featured review,” or “coverage in Dulaxi’s Discovery 10/10.” Do not call it a standalone profile or imply that the entire article is solely about JRH.</w:t>
      </w:r>
    </w:p>
    <w:p>
      <w:pPr>
        <w:pStyle w:val="Heading2"/>
      </w:pPr>
      <w:r>
        <w:t>Why the review matters</w:t>
      </w:r>
    </w:p>
    <w:p>
      <w:pPr>
        <w:pStyle w:val="ListBullet"/>
      </w:pPr>
      <w:r>
        <w:t>It identifies emotional storytelling—not only production—as the track’s central strength.</w:t>
      </w:r>
    </w:p>
    <w:p>
      <w:pPr>
        <w:pStyle w:val="ListBullet"/>
      </w:pPr>
      <w:r>
        <w:t>It recognizes the mashup as a credible expansion of JRH’s musical identity rather than a novelty remix.</w:t>
      </w:r>
    </w:p>
    <w:p>
      <w:pPr>
        <w:pStyle w:val="ListBullet"/>
      </w:pPr>
      <w:r>
        <w:t>It gives third-party language for the vocal, arrangement, rhythmic momentum, and emotional accessibility.</w:t>
      </w:r>
    </w:p>
    <w:p>
      <w:pPr>
        <w:pStyle w:val="ListBullet"/>
      </w:pPr>
      <w:r>
        <w:t>It positions JRH alongside a broader field of active independent artists while keeping the focus on the song itself.</w:t>
      </w:r>
    </w:p>
    <w:p>
      <w:pPr>
        <w:pStyle w:val="Heading1"/>
      </w:pPr>
      <w:r>
        <w:t>Published review — Part I</w:t>
      </w:r>
    </w:p>
    <w:p>
      <w:pPr/>
      <w:r>
        <w:t>The following text is preserved verbatim from the review supplied to JRH and published by Dulaxi. It is retained here for the private production and press archive.</w:t>
      </w:r>
    </w:p>
    <w:p>
      <w:pPr/>
      <w:r>
        <w:t>“Round &amp; Round EDM Mashup” is an electrifying electronic dance track that explores the exhilarating emotional highs and consuming nature of romantic attraction with remarkable confidence and energy. JRH delivers a captivating vocal performance that effortlessly balances expressive melodic passages with a more urgent, rhythmic delivery, allowing the emotional intensity of the song to remain at the forefront throughout. The layered vocal production adds impressive depth, creating a spacious and immersive sound that blends seamlessly into the electronic landscape while preserving the sincerity of the performance.</w:t>
      </w:r>
    </w:p>
    <w:p>
      <w:pPr/>
      <w:r>
        <w:t>The song’s greatest strength lies in how it portrays love as an overwhelming force capable of completely reshaping one’s emotions, thoughts, and perspective. Rather than presenting romance as something calm or measured, it embraces the excitement, vulnerability, and emotional surrender that accompany deep affection. The recurring melodic phrasing reinforces the feeling of being caught in an endless emotional cycle, perfectly reflecting the concept of going “round and round” in the grip of powerful feelings.</w:t>
      </w:r>
    </w:p>
    <w:p>
      <w:r>
        <w:br w:type="page"/>
      </w:r>
    </w:p>
    <w:p>
      <w:pPr>
        <w:pStyle w:val="Kicker"/>
      </w:pPr>
      <w:r>
        <w:t>PUBLISHED REVIEW</w:t>
      </w:r>
    </w:p>
    <w:p>
      <w:pPr>
        <w:pStyle w:val="Heading1"/>
      </w:pPr>
      <w:r>
        <w:t>Dulaxi’s complete assessment — Part II</w:t>
      </w:r>
    </w:p>
    <w:p>
      <w:pPr/>
      <w:r>
        <w:t>The overall message celebrates the willingness to embrace vulnerability despite the uncertainty that comes with love, illustrating how genuine emotional connection can become an irresistible force that is impossible to resist. JRH successfully transforms these universal emotions into a vibrant and relatable experience, allowing listeners to connect with both the exhilaration and emotional intensity that define the journey of falling deeply for someone.</w:t>
      </w:r>
    </w:p>
    <w:p>
      <w:pPr/>
      <w:r>
        <w:t>Musically, “Round &amp; Round EDM Mashup” delivers a polished and exhilarating EDM experience built upon a foundation of expertly crafted electronic production and infectious rhythmic momentum. The arrangement is powered by pulsing basslines, shimmering synthesizers, bright arpeggiated melodies, and expansive atmospheric pads that work together to create a constantly evolving sonic landscape. Crisp drum programming, punchy kick drums, and precisely placed hi-hats provide an unwavering rhythmic drive, ensuring the track maintains its energetic pulse from beginning to end.</w:t>
      </w:r>
    </w:p>
    <w:p>
      <w:pPr/>
      <w:r>
        <w:t>The production showcases modern EDM techniques through seamless layering, dynamic build-ups, impactful drops, and expertly controlled transitions that sustain excitement without overwhelming the melodic core. Side-chain compression adds the signature breathing effect that enhances the track’s movement, while the careful balance between soaring electronic textures and memorable vocal melodies gives the composition both emotional warmth and dancefloor appeal. Every production element serves a clear purpose, resulting in a cohesive listening experience that feels immersive, uplifting, and full of momentum. JRH successfully combines emotional storytelling with vibrant electronic craftsmanship, creating a mashup that is both sonically engaging and emotionally compelling, leaving a lasting impression through its energetic execution and polished musical identity.”</w:t>
      </w:r>
    </w:p>
    <w:p>
      <w:pPr>
        <w:pStyle w:val="Heading2"/>
      </w:pPr>
      <w:r>
        <w:t>Editorial themes to carry forward</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2664"/>
            <w:shd w:fill="090806"/>
            <w:tcMar>
              <w:top w:w="100" w:type="dxa"/>
              <w:start w:w="140" w:type="dxa"/>
              <w:bottom w:w="100" w:type="dxa"/>
              <w:end w:w="140" w:type="dxa"/>
            </w:tcMar>
          </w:tcPr>
          <w:p>
            <w:r>
              <w:rPr>
                <w:b/>
                <w:color w:val="C99B4B"/>
                <w:sz w:val="16"/>
              </w:rPr>
              <w:t>THEME</w:t>
            </w:r>
          </w:p>
        </w:tc>
        <w:tc>
          <w:tcPr>
            <w:tcW w:type="dxa" w:w="6696"/>
            <w:shd w:fill="090806"/>
            <w:tcMar>
              <w:top w:w="100" w:type="dxa"/>
              <w:start w:w="140" w:type="dxa"/>
              <w:bottom w:w="100" w:type="dxa"/>
              <w:end w:w="140" w:type="dxa"/>
            </w:tcMar>
          </w:tcPr>
          <w:p>
            <w:r>
              <w:rPr>
                <w:b/>
                <w:color w:val="C99B4B"/>
                <w:sz w:val="16"/>
              </w:rPr>
              <w:t>DULAXI’S EMPHASIS</w:t>
            </w:r>
          </w:p>
        </w:tc>
      </w:tr>
      <w:tr>
        <w:tc>
          <w:tcPr>
            <w:tcW w:type="dxa" w:w="4680"/>
            <w:shd w:fill="F4EBDD"/>
            <w:tcMar>
              <w:top w:w="100" w:type="dxa"/>
              <w:start w:w="140" w:type="dxa"/>
              <w:bottom w:w="100" w:type="dxa"/>
              <w:end w:w="140" w:type="dxa"/>
            </w:tcMar>
          </w:tcPr>
          <w:p>
            <w:r>
              <w:rPr>
                <w:b/>
              </w:rPr>
              <w:t>Emotional core</w:t>
            </w:r>
          </w:p>
        </w:tc>
        <w:tc>
          <w:tcPr>
            <w:tcW w:type="dxa" w:w="4680"/>
            <w:shd w:fill="FFFFFF"/>
            <w:tcMar>
              <w:top w:w="100" w:type="dxa"/>
              <w:start w:w="140" w:type="dxa"/>
              <w:bottom w:w="100" w:type="dxa"/>
              <w:end w:w="140" w:type="dxa"/>
            </w:tcMar>
          </w:tcPr>
          <w:p>
            <w:r>
              <w:t>Romantic attraction as exhilaration, vulnerability, and surrender.</w:t>
            </w:r>
          </w:p>
        </w:tc>
      </w:tr>
      <w:tr>
        <w:tc>
          <w:tcPr>
            <w:tcW w:type="dxa" w:w="4680"/>
            <w:shd w:fill="F4EBDD"/>
            <w:tcMar>
              <w:top w:w="100" w:type="dxa"/>
              <w:start w:w="140" w:type="dxa"/>
              <w:bottom w:w="100" w:type="dxa"/>
              <w:end w:w="140" w:type="dxa"/>
            </w:tcMar>
          </w:tcPr>
          <w:p>
            <w:r>
              <w:rPr>
                <w:b/>
              </w:rPr>
              <w:t>Vocal identity</w:t>
            </w:r>
          </w:p>
        </w:tc>
        <w:tc>
          <w:tcPr>
            <w:tcW w:type="dxa" w:w="4680"/>
            <w:shd w:fill="FFFFFF"/>
            <w:tcMar>
              <w:top w:w="100" w:type="dxa"/>
              <w:start w:w="140" w:type="dxa"/>
              <w:bottom w:w="100" w:type="dxa"/>
              <w:end w:w="140" w:type="dxa"/>
            </w:tcMar>
          </w:tcPr>
          <w:p>
            <w:r>
              <w:t>Expressive melody balanced with urgent rhythmic delivery.</w:t>
            </w:r>
          </w:p>
        </w:tc>
      </w:tr>
      <w:tr>
        <w:tc>
          <w:tcPr>
            <w:tcW w:type="dxa" w:w="4680"/>
            <w:shd w:fill="F4EBDD"/>
            <w:tcMar>
              <w:top w:w="100" w:type="dxa"/>
              <w:start w:w="140" w:type="dxa"/>
              <w:bottom w:w="100" w:type="dxa"/>
              <w:end w:w="140" w:type="dxa"/>
            </w:tcMar>
          </w:tcPr>
          <w:p>
            <w:r>
              <w:rPr>
                <w:b/>
              </w:rPr>
              <w:t>Production</w:t>
            </w:r>
          </w:p>
        </w:tc>
        <w:tc>
          <w:tcPr>
            <w:tcW w:type="dxa" w:w="4680"/>
            <w:shd w:fill="FFFFFF"/>
            <w:tcMar>
              <w:top w:w="100" w:type="dxa"/>
              <w:start w:w="140" w:type="dxa"/>
              <w:bottom w:w="100" w:type="dxa"/>
              <w:end w:w="140" w:type="dxa"/>
            </w:tcMar>
          </w:tcPr>
          <w:p>
            <w:r>
              <w:t>Layered vocals, pulsing bass, synthesizers, arpeggios, pads, and controlled transitions.</w:t>
            </w:r>
          </w:p>
        </w:tc>
      </w:tr>
      <w:tr>
        <w:tc>
          <w:tcPr>
            <w:tcW w:type="dxa" w:w="4680"/>
            <w:shd w:fill="F4EBDD"/>
            <w:tcMar>
              <w:top w:w="100" w:type="dxa"/>
              <w:start w:w="140" w:type="dxa"/>
              <w:bottom w:w="100" w:type="dxa"/>
              <w:end w:w="140" w:type="dxa"/>
            </w:tcMar>
          </w:tcPr>
          <w:p>
            <w:r>
              <w:rPr>
                <w:b/>
              </w:rPr>
              <w:t>Audience value</w:t>
            </w:r>
          </w:p>
        </w:tc>
        <w:tc>
          <w:tcPr>
            <w:tcW w:type="dxa" w:w="4680"/>
            <w:shd w:fill="FFFFFF"/>
            <w:tcMar>
              <w:top w:w="100" w:type="dxa"/>
              <w:start w:w="140" w:type="dxa"/>
              <w:bottom w:w="100" w:type="dxa"/>
              <w:end w:w="140" w:type="dxa"/>
            </w:tcMar>
          </w:tcPr>
          <w:p>
            <w:r>
              <w:t>A relatable emotional story delivered with dancefloor momentum.</w:t>
            </w:r>
          </w:p>
        </w:tc>
      </w:tr>
    </w:tbl>
    <w:p>
      <w:r>
        <w:br w:type="page"/>
      </w:r>
    </w:p>
    <w:p>
      <w:pPr>
        <w:pStyle w:val="Kicker"/>
      </w:pPr>
      <w:r>
        <w:t>APPROVED PUBLIC LANGUAGE</w:t>
      </w:r>
    </w:p>
    <w:p>
      <w:pPr>
        <w:pStyle w:val="Heading1"/>
      </w:pPr>
      <w:r>
        <w:t>Press-kit entry</w:t>
      </w:r>
    </w:p>
    <w:tbl>
      <w:tblPr>
        <w:tblW w:type="auto" w:w="0"/>
        <w:jc w:val="center"/>
        <w:tblLayout w:type="fixed"/>
        <w:tblLook w:firstColumn="1" w:firstRow="1" w:lastColumn="0" w:lastRow="0" w:noHBand="0" w:noVBand="1" w:val="04A0"/>
      </w:tblPr>
      <w:tblGrid>
        <w:gridCol w:w="9360"/>
      </w:tblGrid>
      <w:tr>
        <w:tc>
          <w:tcPr>
            <w:tcW w:type="dxa" w:w="9360"/>
            <w:shd w:fill="090806"/>
            <w:tcMar>
              <w:top w:w="260" w:type="dxa"/>
              <w:start w:w="300" w:type="dxa"/>
              <w:bottom w:w="250" w:type="dxa"/>
              <w:end w:w="300" w:type="dxa"/>
            </w:tcMar>
          </w:tcPr>
          <w:p>
            <w:pPr>
              <w:spacing w:after="200"/>
              <w:jc w:val="left"/>
            </w:pPr>
            <w:r>
              <w:rPr>
                <w:rFonts w:ascii="Georgia" w:hAnsi="Georgia"/>
                <w:i/>
                <w:color w:val="F7F1E4"/>
                <w:sz w:val="30"/>
              </w:rPr>
              <w:t>“JRH successfully combines emotional storytelling with vibrant electronic craftsmanship, creating a mashup that is both sonically engaging and emotionally compelling.”</w:t>
            </w:r>
          </w:p>
          <w:p>
            <w:r>
              <w:rPr>
                <w:rFonts w:ascii="Calibri" w:hAnsi="Calibri"/>
                <w:b/>
                <w:color w:val="C99B4B"/>
                <w:sz w:val="18"/>
              </w:rPr>
              <w:t>— Dulaxi, Discovery 10/10, July 30, 2026</w:t>
            </w:r>
          </w:p>
        </w:tc>
      </w:tr>
    </w:tbl>
    <w:p>
      <w:pPr/>
      <w:r>
        <w:t>Coverage note: Dulaxi featured “Round &amp; Round EDM Mashup” in its Discovery 10/10 independent-artist roundup, praising the track’s emotional storytelling, rhythmic momentum, layered production, and dancefloor appeal.</w:t>
      </w:r>
    </w:p>
    <w:p>
      <w:pPr>
        <w:pStyle w:val="Heading2"/>
      </w:pPr>
      <w:r>
        <w:t>Website listing</w:t>
      </w:r>
    </w:p>
    <w:p>
      <w:pPr/>
      <w:r>
        <w:t>DULAXI · DISCOVERY 10/10 · JULY 30, 2026</w:t>
      </w:r>
    </w:p>
    <w:p>
      <w:pPr/>
      <w:r>
        <w:t>Round &amp; Round EDM Mashup — Featured Review</w:t>
      </w:r>
    </w:p>
    <w:p>
      <w:pPr/>
      <w:r>
        <w:t>Dulaxi highlights the track’s blend of emotional storytelling, layered electronic production, and infectious rhythmic momentum.</w:t>
      </w:r>
    </w:p>
    <w:p>
      <w:pPr/>
      <w:hyperlink r:id="rId11">
        <w:r>
          <w:rPr>
            <w:color w:val="8B672D"/>
            <w:u w:val="single"/>
          </w:rPr>
          <w:t>Read the feature →</w:t>
        </w:r>
      </w:hyperlink>
    </w:p>
    <w:p>
      <w:pPr>
        <w:pStyle w:val="Heading2"/>
      </w:pPr>
      <w:r>
        <w:t>Recommended attribution standard</w:t>
      </w:r>
    </w:p>
    <w:p>
      <w:pPr/>
      <w:r>
        <w:t>Always retain the outlet, series name, and date with the quotation. When space permits, link directly to the published feature. Do not shorten the quotation in a way that changes its meaning or present Dulaxi’s language as JRH’s own copy.</w:t>
      </w:r>
    </w:p>
    <w:p>
      <w:pPr>
        <w:pStyle w:val="Heading2"/>
      </w:pPr>
      <w:r>
        <w:t>Short artist biography with coverage</w:t>
      </w:r>
    </w:p>
    <w:p>
      <w:pPr/>
      <w:r>
        <w:t>JRH is Georgia songwriter Richard Hicks, creating cinematic Southern country soul where grown-up emotion, roadhouse rhythm, and honest storytelling meet. His genre-crossing “Round &amp; Round EDM Mashup” was featured by Dulaxi in Discovery 10/10, which praised JRH’s combination of emotional storytelling and vibrant electronic craftsmanship.</w:t>
      </w:r>
    </w:p>
    <w:p>
      <w:r>
        <w:br w:type="page"/>
      </w:r>
    </w:p>
    <w:p>
      <w:pPr>
        <w:pStyle w:val="Kicker"/>
      </w:pPr>
      <w:r>
        <w:t>PROMOTION &amp; RECORDKEEPING</w:t>
      </w:r>
    </w:p>
    <w:p>
      <w:pPr>
        <w:pStyle w:val="Heading1"/>
      </w:pPr>
      <w:r>
        <w:t>Primary social caption</w:t>
      </w:r>
    </w:p>
    <w:p>
      <w:pPr/>
      <w:r>
        <w:t>Grateful to Dulaxi for featuring “Round &amp; Round EDM Mashup” in Discovery 10/10.</w:t>
      </w:r>
    </w:p>
    <w:p>
      <w:pPr/>
      <w:r>
        <w:t>“JRH successfully combines emotional storytelling with vibrant electronic craftsmanship, creating a mashup that is both sonically engaging and emotionally compelling.”</w:t>
      </w:r>
    </w:p>
    <w:p>
      <w:pPr/>
      <w:r>
        <w:t>Read the feature: dulaxi.com/discovery-10-10-170/</w:t>
      </w:r>
    </w:p>
    <w:p>
      <w:pPr/>
      <w:r>
        <w:t>— JRH</w:t>
      </w:r>
    </w:p>
    <w:p>
      <w:pPr>
        <w:pStyle w:val="Heading2"/>
      </w:pPr>
      <w:r>
        <w:t>Short caption</w:t>
      </w:r>
    </w:p>
    <w:p>
      <w:pPr/>
      <w:r>
        <w:t>“Round &amp; Round EDM Mashup” is featured in Dulaxi’s Discovery 10/10. Thank you for hearing both the emotion and the energy in this one. Read the feature at Dulaxi.</w:t>
      </w:r>
    </w:p>
    <w:p>
      <w:pPr>
        <w:pStyle w:val="Heading2"/>
      </w:pPr>
      <w:r>
        <w:t>JRH editorial note</w:t>
      </w:r>
    </w:p>
    <w:p>
      <w:pPr/>
      <w:r>
        <w:t>The review is useful because it recognizes the same thing the mashup was built to prove: the song can move into a different production world without losing its emotional center. The guitars and Southern-country roots are not erased; the urgency inside the original idea is translated into electronic rhythm, motion, and release.</w:t>
      </w:r>
    </w:p>
    <w:p>
      <w:pPr>
        <w:pStyle w:val="Heading2"/>
      </w:pPr>
      <w:r>
        <w:t>Archive controls</w:t>
      </w:r>
    </w:p>
    <w:tbl>
      <w:tblPr>
        <w:tblW w:type="auto" w:w="0"/>
        <w:jc w:val="center"/>
        <w:tblLayout w:type="fixed"/>
        <w:tblLook w:firstColumn="1" w:firstRow="1" w:lastColumn="0" w:lastRow="0" w:noHBand="0" w:noVBand="1" w:val="04A0"/>
      </w:tblPr>
      <w:tblGrid>
        <w:gridCol w:w="4680"/>
        <w:gridCol w:w="4680"/>
      </w:tblGrid>
      <w:tr>
        <w:tc>
          <w:tcPr>
            <w:tcW w:type="dxa" w:w="2664"/>
            <w:shd w:fill="090806"/>
            <w:tcMar>
              <w:top w:w="100" w:type="dxa"/>
              <w:start w:w="140" w:type="dxa"/>
              <w:bottom w:w="100" w:type="dxa"/>
              <w:end w:w="140" w:type="dxa"/>
            </w:tcMar>
          </w:tcPr>
          <w:p>
            <w:r>
              <w:rPr>
                <w:b/>
                <w:color w:val="C99B4B"/>
                <w:sz w:val="16"/>
              </w:rPr>
              <w:t>DOCUMENT</w:t>
            </w:r>
          </w:p>
        </w:tc>
        <w:tc>
          <w:tcPr>
            <w:tcW w:type="dxa" w:w="6696"/>
            <w:shd w:fill="F4EBDD"/>
            <w:tcMar>
              <w:top w:w="100" w:type="dxa"/>
              <w:start w:w="140" w:type="dxa"/>
              <w:bottom w:w="100" w:type="dxa"/>
              <w:end w:w="140" w:type="dxa"/>
            </w:tcMar>
          </w:tcPr>
          <w:p>
            <w:r>
              <w:rPr>
                <w:color w:val="17130F"/>
                <w:sz w:val="19"/>
              </w:rPr>
              <w:t>Behind-the-Scenes Press &amp; Media Archive</w:t>
            </w:r>
          </w:p>
        </w:tc>
      </w:tr>
      <w:tr>
        <w:tc>
          <w:tcPr>
            <w:tcW w:type="dxa" w:w="2664"/>
            <w:shd w:fill="090806"/>
            <w:tcMar>
              <w:top w:w="100" w:type="dxa"/>
              <w:start w:w="140" w:type="dxa"/>
              <w:bottom w:w="100" w:type="dxa"/>
              <w:end w:w="140" w:type="dxa"/>
            </w:tcMar>
          </w:tcPr>
          <w:p>
            <w:r>
              <w:rPr>
                <w:b/>
                <w:color w:val="C99B4B"/>
                <w:sz w:val="16"/>
              </w:rPr>
              <w:t>VERSION</w:t>
            </w:r>
          </w:p>
        </w:tc>
        <w:tc>
          <w:tcPr>
            <w:tcW w:type="dxa" w:w="6696"/>
            <w:shd w:fill="F4EBDD"/>
            <w:tcMar>
              <w:top w:w="100" w:type="dxa"/>
              <w:start w:w="140" w:type="dxa"/>
              <w:bottom w:w="100" w:type="dxa"/>
              <w:end w:w="140" w:type="dxa"/>
            </w:tcMar>
          </w:tcPr>
          <w:p>
            <w:r>
              <w:rPr>
                <w:color w:val="17130F"/>
                <w:sz w:val="19"/>
              </w:rPr>
              <w:t>v01</w:t>
            </w:r>
          </w:p>
        </w:tc>
      </w:tr>
      <w:tr>
        <w:tc>
          <w:tcPr>
            <w:tcW w:type="dxa" w:w="2664"/>
            <w:shd w:fill="090806"/>
            <w:tcMar>
              <w:top w:w="100" w:type="dxa"/>
              <w:start w:w="140" w:type="dxa"/>
              <w:bottom w:w="100" w:type="dxa"/>
              <w:end w:w="140" w:type="dxa"/>
            </w:tcMar>
          </w:tcPr>
          <w:p>
            <w:r>
              <w:rPr>
                <w:b/>
                <w:color w:val="C99B4B"/>
                <w:sz w:val="16"/>
              </w:rPr>
              <w:t>STATUS</w:t>
            </w:r>
          </w:p>
        </w:tc>
        <w:tc>
          <w:tcPr>
            <w:tcW w:type="dxa" w:w="6696"/>
            <w:shd w:fill="F4EBDD"/>
            <w:tcMar>
              <w:top w:w="100" w:type="dxa"/>
              <w:start w:w="140" w:type="dxa"/>
              <w:bottom w:w="100" w:type="dxa"/>
              <w:end w:w="140" w:type="dxa"/>
            </w:tcMar>
          </w:tcPr>
          <w:p>
            <w:r>
              <w:rPr>
                <w:color w:val="17130F"/>
                <w:sz w:val="19"/>
              </w:rPr>
              <w:t>Verified against the live Dulaxi feature</w:t>
            </w:r>
          </w:p>
        </w:tc>
      </w:tr>
      <w:tr>
        <w:tc>
          <w:tcPr>
            <w:tcW w:type="dxa" w:w="2664"/>
            <w:shd w:fill="090806"/>
            <w:tcMar>
              <w:top w:w="100" w:type="dxa"/>
              <w:start w:w="140" w:type="dxa"/>
              <w:bottom w:w="100" w:type="dxa"/>
              <w:end w:w="140" w:type="dxa"/>
            </w:tcMar>
          </w:tcPr>
          <w:p>
            <w:r>
              <w:rPr>
                <w:b/>
                <w:color w:val="C99B4B"/>
                <w:sz w:val="16"/>
              </w:rPr>
              <w:t>PUBLIC EXCERPT</w:t>
            </w:r>
          </w:p>
        </w:tc>
        <w:tc>
          <w:tcPr>
            <w:tcW w:type="dxa" w:w="6696"/>
            <w:shd w:fill="F4EBDD"/>
            <w:tcMar>
              <w:top w:w="100" w:type="dxa"/>
              <w:start w:w="140" w:type="dxa"/>
              <w:bottom w:w="100" w:type="dxa"/>
              <w:end w:w="140" w:type="dxa"/>
            </w:tcMar>
          </w:tcPr>
          <w:p>
            <w:r>
              <w:rPr>
                <w:color w:val="17130F"/>
                <w:sz w:val="19"/>
              </w:rPr>
              <w:t>Approved pull quote and coverage note on the JRH website</w:t>
            </w:r>
          </w:p>
        </w:tc>
      </w:tr>
      <w:tr>
        <w:tc>
          <w:tcPr>
            <w:tcW w:type="dxa" w:w="2664"/>
            <w:shd w:fill="090806"/>
            <w:tcMar>
              <w:top w:w="100" w:type="dxa"/>
              <w:start w:w="140" w:type="dxa"/>
              <w:bottom w:w="100" w:type="dxa"/>
              <w:end w:w="140" w:type="dxa"/>
            </w:tcMar>
          </w:tcPr>
          <w:p>
            <w:r>
              <w:rPr>
                <w:b/>
                <w:color w:val="C99B4B"/>
                <w:sz w:val="16"/>
              </w:rPr>
              <w:t>SOURCE</w:t>
            </w:r>
          </w:p>
        </w:tc>
        <w:tc>
          <w:tcPr>
            <w:tcW w:type="dxa" w:w="6696"/>
            <w:shd w:fill="F4EBDD"/>
            <w:tcMar>
              <w:top w:w="100" w:type="dxa"/>
              <w:start w:w="140" w:type="dxa"/>
              <w:bottom w:w="100" w:type="dxa"/>
              <w:end w:w="140" w:type="dxa"/>
            </w:tcMar>
          </w:tcPr>
          <w:p>
            <w:r>
              <w:rPr>
                <w:color w:val="17130F"/>
                <w:sz w:val="19"/>
              </w:rPr>
              <w:t>https://dulaxi.com/discovery-10-10-170/</w:t>
            </w:r>
          </w:p>
        </w:tc>
      </w:tr>
    </w:tbl>
    <w:p>
      <w:pPr/>
      <w:r>
        <w:t>Prepared for the JRH private production archive, press kit, and Behind-the-Scenes collection. Full review text is preserved here for recordkeeping; public promotion should use the approved excerpt and link readers to Dulaxi.</w:t>
      </w:r>
    </w:p>
    <w:sectPr w:rsidR="00FC693F" w:rsidRPr="0006063C" w:rsidSect="00034616">
      <w:headerReference w:type="default" r:id="rId9"/>
      <w:footerReference w:type="default" r:id="rId10"/>
      <w:pgSz w:w="12240" w:h="15840"/>
      <w:pgMar w:top="1037" w:right="1440" w:bottom="1037"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F675C"/>
        <w:sz w:val="16"/>
      </w:rPr>
      <w:t xml:space="preserve">JRH · Eazy Dawg ·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5" w:color="D7C7AD"/>
      </w:pBdr>
    </w:pPr>
    <w:r>
      <w:rPr>
        <w:rFonts w:ascii="Calibri" w:hAnsi="Calibri"/>
        <w:b/>
        <w:color w:val="8B672D"/>
        <w:sz w:val="16"/>
      </w:rPr>
      <w:t>JRH  /  PRESS &amp; MEDIA ARCHIVE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1713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Georgia" w:hAnsi="Georgia"/>
      <w:b/>
      <w:bCs/>
      <w:color w:val="8B672D"/>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8B672D"/>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Georgia" w:hAnsi="Georgia"/>
      <w:b/>
      <w:bCs/>
      <w:color w:val="17130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color w:val="17130F"/>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color w:val="17130F"/>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100"/>
    </w:pPr>
    <w:rPr>
      <w:rFonts w:ascii="Calibri" w:hAnsi="Calibri"/>
      <w:b/>
      <w:color w:val="8B672D"/>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ulaxi.com/discovery-10-10-1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JRH — Round &amp; Round EDM Mashup: Dulaxi Editorial Feature Archive</dc:title>
  <dc:subject>Behind-the-Scenes Press &amp; Media Archive</dc:subject>
  <dc:creator>JRH / Richard Hicks</dc:creator>
  <cp:keywords>JRH, Round &amp; Round EDM Mashup, Dulaxi, Discovery 10/10, press archive</cp:keywords>
  <dc:description>generated by python-docx</dc:description>
  <cp:lastModifiedBy/>
  <cp:revision>1</cp:revision>
  <dcterms:created xsi:type="dcterms:W3CDTF">2013-12-23T23:15:00Z</dcterms:created>
  <dcterms:modified xsi:type="dcterms:W3CDTF">2013-12-23T23:15:00Z</dcterms:modified>
  <cp:category/>
</cp:coreProperties>
</file>